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776F1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Default="008A2D0E" w:rsidP="00F964B9">
      <w:pPr>
        <w:spacing w:after="0"/>
        <w:rPr>
          <w:rFonts w:ascii="Tahoma" w:hAnsi="Tahoma" w:cs="Tahoma"/>
          <w:sz w:val="48"/>
          <w:szCs w:val="48"/>
          <w:lang w:val="en-US"/>
        </w:rPr>
      </w:pPr>
    </w:p>
    <w:p w:rsidR="008A2D0E" w:rsidRPr="00942847" w:rsidRDefault="00942847" w:rsidP="00942847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942847">
        <w:rPr>
          <w:rFonts w:ascii="Tahoma" w:hAnsi="Tahoma" w:cs="Tahoma"/>
          <w:sz w:val="48"/>
          <w:szCs w:val="48"/>
        </w:rPr>
        <w:t xml:space="preserve">&lt;Письмо&gt; </w:t>
      </w:r>
      <w:proofErr w:type="spellStart"/>
      <w:r w:rsidRPr="00942847">
        <w:rPr>
          <w:rFonts w:ascii="Tahoma" w:hAnsi="Tahoma" w:cs="Tahoma"/>
          <w:sz w:val="48"/>
          <w:szCs w:val="48"/>
        </w:rPr>
        <w:t>Минрегиона</w:t>
      </w:r>
      <w:proofErr w:type="spellEnd"/>
      <w:r w:rsidRPr="00942847">
        <w:rPr>
          <w:rFonts w:ascii="Tahoma" w:hAnsi="Tahoma" w:cs="Tahoma"/>
          <w:sz w:val="48"/>
          <w:szCs w:val="48"/>
        </w:rPr>
        <w:t xml:space="preserve"> России от 27.02.2012 N 3988-ИП/08</w:t>
      </w:r>
      <w:r w:rsidRPr="00942847">
        <w:rPr>
          <w:rFonts w:ascii="Tahoma" w:hAnsi="Tahoma" w:cs="Tahoma"/>
          <w:sz w:val="48"/>
          <w:szCs w:val="48"/>
        </w:rPr>
        <w:br/>
        <w:t>&lt;О применении постановления Правительства РФ от 24.03.2011 N 207&gt;</w:t>
      </w:r>
    </w:p>
    <w:p w:rsidR="008A2D0E" w:rsidRPr="00B0714A" w:rsidRDefault="008A2D0E" w:rsidP="00F964B9">
      <w:pPr>
        <w:spacing w:after="0"/>
        <w:rPr>
          <w:rFonts w:ascii="Tahoma" w:hAnsi="Tahoma" w:cs="Tahoma"/>
          <w:sz w:val="48"/>
          <w:szCs w:val="48"/>
        </w:rPr>
      </w:pPr>
    </w:p>
    <w:p w:rsidR="00B0714A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F34A41" w:rsidRPr="00F15021" w:rsidRDefault="00F34A41" w:rsidP="00F964B9">
      <w:pPr>
        <w:spacing w:after="0"/>
        <w:rPr>
          <w:rFonts w:ascii="Tahoma" w:hAnsi="Tahoma" w:cs="Tahoma"/>
          <w:sz w:val="36"/>
          <w:szCs w:val="36"/>
        </w:rPr>
      </w:pPr>
    </w:p>
    <w:p w:rsidR="00B0714A" w:rsidRPr="00F15021" w:rsidRDefault="00B0714A" w:rsidP="00F964B9">
      <w:pPr>
        <w:spacing w:after="0"/>
        <w:rPr>
          <w:rFonts w:ascii="Tahoma" w:hAnsi="Tahoma" w:cs="Tahoma"/>
          <w:sz w:val="36"/>
          <w:szCs w:val="36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942847" w:rsidRPr="00942847" w:rsidRDefault="00942847" w:rsidP="00F964B9">
      <w:pPr>
        <w:spacing w:after="0"/>
        <w:rPr>
          <w:rFonts w:ascii="Tahoma" w:hAnsi="Tahoma" w:cs="Tahoma"/>
        </w:rPr>
      </w:pPr>
      <w:bookmarkStart w:id="0" w:name="_GoBack"/>
    </w:p>
    <w:bookmarkEnd w:id="0"/>
    <w:p w:rsidR="00942847" w:rsidRPr="004839C7" w:rsidRDefault="00942847" w:rsidP="00F964B9">
      <w:pPr>
        <w:spacing w:after="0"/>
        <w:rPr>
          <w:rFonts w:ascii="Tahoma" w:hAnsi="Tahoma" w:cs="Tahoma"/>
          <w:sz w:val="48"/>
          <w:szCs w:val="48"/>
        </w:rPr>
      </w:pPr>
    </w:p>
    <w:p w:rsidR="008A2D0E" w:rsidRPr="0007080E" w:rsidRDefault="008A2D0E" w:rsidP="008A2D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E26D5B" w:rsidRDefault="00E26D5B" w:rsidP="00E26D5B">
      <w:pPr>
        <w:pStyle w:val="ConsPlusNormal"/>
        <w:outlineLvl w:val="0"/>
        <w:rPr>
          <w:rFonts w:ascii="Arial CYR" w:eastAsiaTheme="minorHAnsi" w:hAnsi="Arial CYR" w:cs="Arial CYR"/>
          <w:b/>
          <w:sz w:val="28"/>
          <w:szCs w:val="28"/>
          <w:lang w:eastAsia="en-US"/>
        </w:rPr>
      </w:pPr>
    </w:p>
    <w:p w:rsidR="00E26D5B" w:rsidRPr="00E26D5B" w:rsidRDefault="00E26D5B" w:rsidP="00F34A41">
      <w:pPr>
        <w:pStyle w:val="ConsPlusNormal"/>
        <w:outlineLvl w:val="0"/>
        <w:rPr>
          <w:b/>
          <w:bCs/>
          <w:sz w:val="16"/>
          <w:szCs w:val="16"/>
        </w:rPr>
      </w:pPr>
    </w:p>
    <w:p w:rsidR="00942847" w:rsidRPr="00942847" w:rsidRDefault="00942847" w:rsidP="00942847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МИНИСТЕРСТВО РЕГИОНАЛЬНОГО РАЗВИТИЯ РОССИЙСКОЙ ФЕДЕРАЦИИ</w:t>
      </w:r>
    </w:p>
    <w:p w:rsidR="00942847" w:rsidRPr="00942847" w:rsidRDefault="00942847" w:rsidP="00942847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42847" w:rsidRPr="00942847" w:rsidRDefault="00942847" w:rsidP="00942847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ПИСЬМО</w:t>
      </w:r>
    </w:p>
    <w:p w:rsidR="00942847" w:rsidRPr="00942847" w:rsidRDefault="00942847" w:rsidP="00942847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>от 27 февраля 2012 г. N 3988-ИП/08</w:t>
      </w:r>
    </w:p>
    <w:p w:rsidR="00942847" w:rsidRPr="00942847" w:rsidRDefault="00942847" w:rsidP="00942847">
      <w:pPr>
        <w:spacing w:after="0"/>
        <w:ind w:left="567"/>
        <w:jc w:val="center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Министерством регионального развития Российской Федерации рассмотрено обращение от 25.08.2011 N 02-1237/11 по вопросам применения постановления Правительства Российской Федерации от 24.03.2011 N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 (далее - Постановление N 207), и сообщается следующее.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В соответствии со статьей 3 Федерального закона Российской Федерации от 21.11.1995 N 170-ФЗ "Об использовании атомной энергии" (далее - Закон) к объектам использования атомной энергии относятся: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ядерные установки - сооружения и комплексы с ядерными реакторами, в том числе атомные станции, суда и другие </w:t>
      </w:r>
      <w:proofErr w:type="spellStart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плавсредства</w:t>
      </w:r>
      <w:proofErr w:type="spellEnd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, космические и летательные аппараты, другие транспортные и транспортабельные средства; сооружения и комплексы с промышленными, экспериментальными и исследовательскими ядерными реакторами, критическими подкритическими ядерными стендами; сооружения, комплексы, полигоны, установки и устройства с ядерными зарядами для использования в мирных целях; 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радиационные источники 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пункты хранения ядерных материалов и радиоактивных веществ, пункты хранения, хранилища радиоактивных отходов (далее - пункты хранения) 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тепловыделяющая сборка ядерного реактора - машиностроительное изделие, содержащее ядерные материалы и предназначенное для получения тепловой энергии в ядерном реакторе за счет осуществления контролируемой ядерной реакции;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облученные тепловыделяющие сборки ядерного реактора - облученные в ядерном реакторе и извлеченные из него тепловыделяющие сборки, содержащие отработавшее ядерное топливо;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ядерные материалы - материалы, содержащие или способные воспроизвести делящиеся (расщепляющиеся) ядерные вещества;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радиоактивные вещества - не относящиеся к ядерным материалам вещества, испускающие ионизирующее излучение;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радиоактивные отходы - не подлежащие дальнейшему использованию материалы и вещества, а также оборудование, изделия (в том числе отработавшие источники ионизирующего излучения), содержание радионуклидов в которых превышает уровни, установленные в соответствии с критериями, установленными Правительством Российской Федерации.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Под полным жизненным циклом объекта использования атомной энергии в зависимости от категории объекта применения вышеуказанного Закона понимаются размещение, проектирование (включая изыскания), конструирование, производство, сооружение или строительство (включая монтаж, наладку, ввод в эксплуатацию), эксплуатация, реконструкция, капитальный ремонт, вывод из эксплуатации (закрытие), транспортирование (перевозка), обращение, хранение, захоронение и утилизация объектов использования атомной энергии.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При этом согласно статьи 3 Закона его действие не распространяется на объекты, содержащие или использующие ядерные материалы и радиоактивные вещества в количествах и с активностью (и (или) испускающие ионизирующее излучение с интенсивностью или энергией) менее установленных федеральными нормами и правилами в области использования атомной энергии значений, для которых требуются разрешения федеральных органов исполнительной власти в области государственного регулирования безопасности (далее - органы государственного регулирования безопасности) при </w:t>
      </w: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lastRenderedPageBreak/>
        <w:t>использовании атомной энергии при осуществлении деятельности с указанными объектами, если иное не предусмотрено законодательством Российской Федерации.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В связи с этим для целей определения видов объектов капитального строительства, в отношении которых распространяются требования Постановления N 207, необходимо руководствоваться перечнем видов объектов капитального строительства, непосредственно указанным в пункте 3 приложения N 1 к Постановлению N 207, а именно: объекты с ядерными установками, объекты ядерного оружейного комплекса, ускорители элементарных частиц и горячих камер, объекты хранения ядерных материалов и радиоактивных веществ, хранилища радиоактивных отходов, объекты ядерного топливного цикла, объекты по добыче и переработке урана. В отношении иных объектов капитального строительства действие Постановления N 207 не распространяется.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Постановлением N 207 определены минимально необходимые требования к выдаче саморегулируемыми организациями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использования атомной энергии.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При решении вопроса об отнесении работ по строительству, реконструкции и капитальному ремонту объектов капитального строительства к работам, которые оказывают влияние на безопасность объектов использования атомной энергии, необходимо руководствоваться следующим: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- такие виды работ должны входить в Перечень видов работ, которые оказывают влияние на безопасность объектов капитального строительства, утвержденный приказом </w:t>
      </w:r>
      <w:proofErr w:type="spellStart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Минрегиона</w:t>
      </w:r>
      <w:proofErr w:type="spellEnd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 России от 30.12.2010 N 624 (в редакции приказа </w:t>
      </w:r>
      <w:proofErr w:type="spellStart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Минрегиона</w:t>
      </w:r>
      <w:proofErr w:type="spellEnd"/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 xml:space="preserve"> России от 23.06.2010 N 294);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- такие виды работ должны обеспечивать строительство, реконструкцию или капитальный ремонт здания или сооружения, непосредственно предназначенного для производства, использования, переработки, хранения, утилизации ядерных материалов или радиоактивных веществ, либо объектов, технологически связанных с такими зданиями и сооружениями, например сети инженерно-технического обеспечения указанных зданий и сооружений.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Строительство объектов, содержащих или использующих ядерные материалы и радиоактивные вещества, осуществляется в соответствии с проектной документацией, включающей в себя, в отдельных случаях, строительство вспомогательных объектов недвижимости, таких как подъездные пути, строительные базы, объекты для проживания обслуживающего персонала, здания столовых, спортзалов, складов, медпунктов, учебных центров и т.д. Включение вспомогательных объектов капитального строительства в единую проектную документацию с объектами, содержащими или использующими ядерные материалы и радиоактивные вещества, не является критерием для отнесения работ по строительству, реконструкции и капитальному ремонту указанных объектов капитального строительства, к работам, которые оказывают влияние на безопасность объектов использования атомной энергии.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  <w:r w:rsidRPr="00942847">
        <w:rPr>
          <w:rFonts w:ascii="Arial" w:eastAsiaTheme="minorEastAsia" w:hAnsi="Arial" w:cs="Arial"/>
          <w:bCs/>
          <w:sz w:val="20"/>
          <w:szCs w:val="20"/>
          <w:lang w:eastAsia="ru-RU"/>
        </w:rPr>
        <w:t>Учитывая изложенное, приложение N 1, 2, 3 Постановления N 207 не распространяется в отношении работ, выполняемых на объектах и их инженерных сетях, технологически не связанных с функционированием объектов использования атомной энергии.</w:t>
      </w:r>
    </w:p>
    <w:p w:rsidR="00942847" w:rsidRPr="00942847" w:rsidRDefault="00942847" w:rsidP="00942847">
      <w:pPr>
        <w:spacing w:after="0"/>
        <w:ind w:left="567" w:firstLine="567"/>
        <w:rPr>
          <w:rFonts w:ascii="Arial" w:eastAsiaTheme="minorEastAsia" w:hAnsi="Arial" w:cs="Arial"/>
          <w:bCs/>
          <w:sz w:val="20"/>
          <w:szCs w:val="20"/>
          <w:lang w:eastAsia="ru-RU"/>
        </w:rPr>
      </w:pPr>
    </w:p>
    <w:p w:rsidR="007454CA" w:rsidRPr="007454CA" w:rsidRDefault="007454CA" w:rsidP="00942847">
      <w:pPr>
        <w:spacing w:after="0"/>
        <w:rPr>
          <w:rFonts w:ascii="Arial CYR" w:hAnsi="Arial CYR" w:cs="Arial CYR"/>
        </w:rPr>
      </w:pPr>
    </w:p>
    <w:p w:rsidR="00175B1E" w:rsidRPr="00F964B9" w:rsidRDefault="00F964B9" w:rsidP="000A0F37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13" w:rsidRDefault="00776F13" w:rsidP="00FF3D03">
      <w:pPr>
        <w:spacing w:after="0" w:line="240" w:lineRule="auto"/>
      </w:pPr>
      <w:r>
        <w:separator/>
      </w:r>
    </w:p>
  </w:endnote>
  <w:endnote w:type="continuationSeparator" w:id="0">
    <w:p w:rsidR="00776F13" w:rsidRDefault="00776F13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942847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942847">
      <w:rPr>
        <w:rFonts w:ascii="Arial CYR" w:hAnsi="Arial CYR" w:cs="Arial CYR"/>
        <w:b/>
        <w:noProof/>
        <w:sz w:val="20"/>
        <w:szCs w:val="20"/>
      </w:rPr>
      <w:t>3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13" w:rsidRDefault="00776F13" w:rsidP="00FF3D03">
      <w:pPr>
        <w:spacing w:after="0" w:line="240" w:lineRule="auto"/>
      </w:pPr>
      <w:r>
        <w:separator/>
      </w:r>
    </w:p>
  </w:footnote>
  <w:footnote w:type="continuationSeparator" w:id="0">
    <w:p w:rsidR="00776F13" w:rsidRDefault="00776F13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A0F37" w:rsidRDefault="00942847" w:rsidP="00942847">
              <w:pPr>
                <w:pStyle w:val="a6"/>
                <w:ind w:right="312"/>
                <w:rPr>
                  <w:rFonts w:eastAsiaTheme="majorEastAsia" w:cstheme="minorHAnsi"/>
                  <w:sz w:val="16"/>
                  <w:szCs w:val="16"/>
                </w:rPr>
              </w:pPr>
              <w:r w:rsidRPr="00E03640">
                <w:rPr>
                  <w:rFonts w:ascii="Tahoma" w:hAnsi="Tahoma" w:cs="Tahoma"/>
                  <w:sz w:val="16"/>
                  <w:szCs w:val="16"/>
                </w:rPr>
                <w:t xml:space="preserve">&lt;Письмо&gt; </w:t>
              </w:r>
              <w:proofErr w:type="spellStart"/>
              <w:r w:rsidRPr="00E03640">
                <w:rPr>
                  <w:rFonts w:ascii="Tahoma" w:hAnsi="Tahoma" w:cs="Tahoma"/>
                  <w:sz w:val="16"/>
                  <w:szCs w:val="16"/>
                </w:rPr>
                <w:t>Минрегиона</w:t>
              </w:r>
              <w:proofErr w:type="spellEnd"/>
              <w:r w:rsidRPr="00E03640">
                <w:rPr>
                  <w:rFonts w:ascii="Tahoma" w:hAnsi="Tahoma" w:cs="Tahoma"/>
                  <w:sz w:val="16"/>
                  <w:szCs w:val="16"/>
                </w:rPr>
                <w:t xml:space="preserve"> России от 27.02.2012 N 3988-ИП/08&lt;О применении постановления Правительства РФ от 24.03.2011 N 207&gt;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0A0F37"/>
    <w:rsid w:val="00175B1E"/>
    <w:rsid w:val="001E3626"/>
    <w:rsid w:val="002141EC"/>
    <w:rsid w:val="002A29E9"/>
    <w:rsid w:val="003570EC"/>
    <w:rsid w:val="003E7AA7"/>
    <w:rsid w:val="004839C7"/>
    <w:rsid w:val="004C5A47"/>
    <w:rsid w:val="0051685A"/>
    <w:rsid w:val="006B6467"/>
    <w:rsid w:val="00706575"/>
    <w:rsid w:val="007454CA"/>
    <w:rsid w:val="00776F13"/>
    <w:rsid w:val="007D16B4"/>
    <w:rsid w:val="008A2D0E"/>
    <w:rsid w:val="00942847"/>
    <w:rsid w:val="009827EB"/>
    <w:rsid w:val="00A14A13"/>
    <w:rsid w:val="00A61195"/>
    <w:rsid w:val="00B0714A"/>
    <w:rsid w:val="00B807D8"/>
    <w:rsid w:val="00D04D56"/>
    <w:rsid w:val="00DA3D95"/>
    <w:rsid w:val="00DE5C1A"/>
    <w:rsid w:val="00E26D5B"/>
    <w:rsid w:val="00EC68FA"/>
    <w:rsid w:val="00EE0B29"/>
    <w:rsid w:val="00F15021"/>
    <w:rsid w:val="00F34A41"/>
    <w:rsid w:val="00F740A7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454C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4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  <w:style w:type="paragraph" w:customStyle="1" w:styleId="ConsPlusCell">
    <w:name w:val="ConsPlusCell"/>
    <w:uiPriority w:val="99"/>
    <w:rsid w:val="000A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57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7454CA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745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5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0B50C2"/>
    <w:rsid w:val="00572E1C"/>
    <w:rsid w:val="005C18F0"/>
    <w:rsid w:val="006C6FEB"/>
    <w:rsid w:val="006D6AD6"/>
    <w:rsid w:val="009F5827"/>
    <w:rsid w:val="00A553EF"/>
    <w:rsid w:val="00F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  <w:style w:type="paragraph" w:customStyle="1" w:styleId="84320B8D582745E6986905B99E3BC3A4">
    <w:name w:val="84320B8D582745E6986905B99E3BC3A4"/>
    <w:rsid w:val="00A553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  <w:style w:type="paragraph" w:customStyle="1" w:styleId="84320B8D582745E6986905B99E3BC3A4">
    <w:name w:val="84320B8D582745E6986905B99E3BC3A4"/>
    <w:rsid w:val="00A553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40DB-9F74-4AA5-A6D0-2C30D8F9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Минрегиона РФ от 15.06.2010 N 24099-РП/08(с изм. от 13.07.2010)&lt;О порядке реализации Приказа Минрегиона РФ от 30.12.2009 N 624 "Об утверждении Перечня видов работ по инженерным изысканиям, по подготовке проектной документации, по строительству, р</vt:lpstr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Минрегиона России от 27.02.2012 N 3988-ИП/08 О применении постановления Правительства РФ от 24.03.2011 N 207</dc:title>
  <dc:creator>sro.center</dc:creator>
  <cp:lastModifiedBy>sro.center</cp:lastModifiedBy>
  <cp:revision>2</cp:revision>
  <dcterms:created xsi:type="dcterms:W3CDTF">2014-06-14T23:25:00Z</dcterms:created>
  <dcterms:modified xsi:type="dcterms:W3CDTF">2014-06-14T23:25:00Z</dcterms:modified>
</cp:coreProperties>
</file>