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810F04"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113A95B0" wp14:editId="0F8D37F0">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942847" w:rsidRDefault="001A7838" w:rsidP="001A7838">
      <w:pPr>
        <w:spacing w:after="0"/>
        <w:jc w:val="center"/>
        <w:rPr>
          <w:rFonts w:ascii="Tahoma" w:hAnsi="Tahoma" w:cs="Tahoma"/>
          <w:sz w:val="48"/>
          <w:szCs w:val="48"/>
        </w:rPr>
      </w:pPr>
      <w:r w:rsidRPr="001A7838">
        <w:rPr>
          <w:rFonts w:ascii="Tahoma" w:hAnsi="Tahoma" w:cs="Tahoma"/>
          <w:sz w:val="48"/>
          <w:szCs w:val="48"/>
        </w:rPr>
        <w:t>&lt;Письмо&gt; Госстроя от 30.11.2012 N 2715-ЮР/11/ГС &lt;</w:t>
      </w:r>
      <w:bookmarkStart w:id="0" w:name="_GoBack"/>
      <w:r w:rsidRPr="001A7838">
        <w:rPr>
          <w:rFonts w:ascii="Tahoma" w:hAnsi="Tahoma" w:cs="Tahoma"/>
          <w:sz w:val="48"/>
          <w:szCs w:val="48"/>
        </w:rPr>
        <w:t xml:space="preserve">О применении Постановления Правительства РФ от 24.03.2011 N 207 </w:t>
      </w:r>
      <w:bookmarkEnd w:id="0"/>
      <w:r w:rsidRPr="001A7838">
        <w:rPr>
          <w:rFonts w:ascii="Tahoma" w:hAnsi="Tahoma" w:cs="Tahoma"/>
          <w:sz w:val="48"/>
          <w:szCs w:val="48"/>
        </w:rPr>
        <w:t>"О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объектов"&gt;</w:t>
      </w:r>
    </w:p>
    <w:p w:rsidR="001A7838" w:rsidRDefault="001A7838" w:rsidP="001A7838">
      <w:pPr>
        <w:spacing w:after="0"/>
        <w:rPr>
          <w:rFonts w:ascii="Tahoma" w:hAnsi="Tahoma" w:cs="Tahoma"/>
          <w:sz w:val="48"/>
          <w:szCs w:val="48"/>
        </w:rPr>
      </w:pPr>
    </w:p>
    <w:p w:rsidR="00942847" w:rsidRDefault="00942847" w:rsidP="00F964B9">
      <w:pPr>
        <w:spacing w:after="0"/>
        <w:rPr>
          <w:rFonts w:ascii="Tahoma" w:hAnsi="Tahoma" w:cs="Tahoma"/>
          <w:sz w:val="48"/>
          <w:szCs w:val="48"/>
        </w:rPr>
      </w:pPr>
    </w:p>
    <w:p w:rsidR="00942847" w:rsidRDefault="00942847" w:rsidP="00F964B9">
      <w:pPr>
        <w:spacing w:after="0"/>
        <w:rPr>
          <w:rFonts w:ascii="Tahoma" w:hAnsi="Tahoma" w:cs="Tahoma"/>
          <w:sz w:val="48"/>
          <w:szCs w:val="48"/>
        </w:rPr>
      </w:pPr>
    </w:p>
    <w:p w:rsidR="00942847" w:rsidRDefault="00942847" w:rsidP="00F964B9">
      <w:pPr>
        <w:spacing w:after="0"/>
        <w:rPr>
          <w:rFonts w:ascii="Tahoma" w:hAnsi="Tahoma" w:cs="Tahoma"/>
          <w:sz w:val="48"/>
          <w:szCs w:val="48"/>
        </w:rPr>
      </w:pPr>
    </w:p>
    <w:p w:rsidR="00942847" w:rsidRPr="00942847" w:rsidRDefault="00942847" w:rsidP="00F964B9">
      <w:pPr>
        <w:spacing w:after="0"/>
        <w:rPr>
          <w:rFonts w:ascii="Tahoma" w:hAnsi="Tahoma" w:cs="Tahoma"/>
        </w:rPr>
      </w:pPr>
    </w:p>
    <w:p w:rsidR="00942847" w:rsidRPr="004839C7" w:rsidRDefault="00942847" w:rsidP="00F964B9">
      <w:pPr>
        <w:spacing w:after="0"/>
        <w:rPr>
          <w:rFonts w:ascii="Tahoma" w:hAnsi="Tahoma" w:cs="Tahoma"/>
          <w:sz w:val="48"/>
          <w:szCs w:val="48"/>
        </w:rPr>
      </w:pPr>
    </w:p>
    <w:p w:rsidR="008A2D0E" w:rsidRPr="0007080E" w:rsidRDefault="008A2D0E" w:rsidP="008A2D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E26D5B" w:rsidRDefault="00E26D5B" w:rsidP="00E26D5B">
      <w:pPr>
        <w:pStyle w:val="ConsPlusNormal"/>
        <w:outlineLvl w:val="0"/>
        <w:rPr>
          <w:rFonts w:ascii="Arial CYR" w:eastAsiaTheme="minorHAnsi" w:hAnsi="Arial CYR" w:cs="Arial CYR"/>
          <w:b/>
          <w:sz w:val="28"/>
          <w:szCs w:val="28"/>
          <w:lang w:eastAsia="en-US"/>
        </w:rPr>
      </w:pPr>
    </w:p>
    <w:p w:rsidR="00E26D5B" w:rsidRPr="00E26D5B" w:rsidRDefault="00E26D5B" w:rsidP="00F34A41">
      <w:pPr>
        <w:pStyle w:val="ConsPlusNormal"/>
        <w:outlineLvl w:val="0"/>
        <w:rPr>
          <w:b/>
          <w:bCs/>
          <w:sz w:val="16"/>
          <w:szCs w:val="16"/>
        </w:rPr>
      </w:pPr>
    </w:p>
    <w:p w:rsidR="001A7838" w:rsidRPr="001A7838" w:rsidRDefault="001A7838" w:rsidP="001A7838">
      <w:pPr>
        <w:spacing w:after="0"/>
        <w:ind w:left="567"/>
        <w:jc w:val="center"/>
        <w:rPr>
          <w:rFonts w:ascii="Arial" w:eastAsiaTheme="minorEastAsia" w:hAnsi="Arial" w:cs="Arial"/>
          <w:b/>
          <w:bCs/>
          <w:sz w:val="20"/>
          <w:szCs w:val="20"/>
          <w:lang w:eastAsia="ru-RU"/>
        </w:rPr>
      </w:pPr>
      <w:r w:rsidRPr="001A7838">
        <w:rPr>
          <w:rFonts w:ascii="Arial" w:eastAsiaTheme="minorEastAsia" w:hAnsi="Arial" w:cs="Arial"/>
          <w:b/>
          <w:bCs/>
          <w:sz w:val="20"/>
          <w:szCs w:val="20"/>
          <w:lang w:eastAsia="ru-RU"/>
        </w:rPr>
        <w:lastRenderedPageBreak/>
        <w:t>МИНИСТЕРСТВО РЕГИОНАЛЬНОГО РАЗВИТИЯ РОССИЙСКОЙ ФЕДЕРАЦИИ</w:t>
      </w:r>
    </w:p>
    <w:p w:rsidR="001A7838" w:rsidRPr="001A7838" w:rsidRDefault="001A7838" w:rsidP="001A7838">
      <w:pPr>
        <w:spacing w:after="0"/>
        <w:ind w:left="567"/>
        <w:jc w:val="center"/>
        <w:rPr>
          <w:rFonts w:ascii="Arial" w:eastAsiaTheme="minorEastAsia" w:hAnsi="Arial" w:cs="Arial"/>
          <w:b/>
          <w:bCs/>
          <w:sz w:val="20"/>
          <w:szCs w:val="20"/>
          <w:lang w:eastAsia="ru-RU"/>
        </w:rPr>
      </w:pPr>
    </w:p>
    <w:p w:rsidR="001A7838" w:rsidRPr="001A7838" w:rsidRDefault="001A7838" w:rsidP="001A7838">
      <w:pPr>
        <w:spacing w:after="0"/>
        <w:ind w:left="567"/>
        <w:jc w:val="center"/>
        <w:rPr>
          <w:rFonts w:ascii="Arial" w:eastAsiaTheme="minorEastAsia" w:hAnsi="Arial" w:cs="Arial"/>
          <w:b/>
          <w:bCs/>
          <w:sz w:val="20"/>
          <w:szCs w:val="20"/>
          <w:lang w:eastAsia="ru-RU"/>
        </w:rPr>
      </w:pPr>
      <w:r w:rsidRPr="001A7838">
        <w:rPr>
          <w:rFonts w:ascii="Arial" w:eastAsiaTheme="minorEastAsia" w:hAnsi="Arial" w:cs="Arial"/>
          <w:b/>
          <w:bCs/>
          <w:sz w:val="20"/>
          <w:szCs w:val="20"/>
          <w:lang w:eastAsia="ru-RU"/>
        </w:rPr>
        <w:t>ФЕДЕРАЛЬНОЕ АГЕНТСТВО ПО СТРОИТЕЛЬСТВУ</w:t>
      </w:r>
    </w:p>
    <w:p w:rsidR="001A7838" w:rsidRPr="001A7838" w:rsidRDefault="001A7838" w:rsidP="001A7838">
      <w:pPr>
        <w:spacing w:after="0"/>
        <w:ind w:left="567"/>
        <w:jc w:val="center"/>
        <w:rPr>
          <w:rFonts w:ascii="Arial" w:eastAsiaTheme="minorEastAsia" w:hAnsi="Arial" w:cs="Arial"/>
          <w:b/>
          <w:bCs/>
          <w:sz w:val="20"/>
          <w:szCs w:val="20"/>
          <w:lang w:eastAsia="ru-RU"/>
        </w:rPr>
      </w:pPr>
      <w:r w:rsidRPr="001A7838">
        <w:rPr>
          <w:rFonts w:ascii="Arial" w:eastAsiaTheme="minorEastAsia" w:hAnsi="Arial" w:cs="Arial"/>
          <w:b/>
          <w:bCs/>
          <w:sz w:val="20"/>
          <w:szCs w:val="20"/>
          <w:lang w:eastAsia="ru-RU"/>
        </w:rPr>
        <w:t>И ЖИЛИЩНО-КОММУНАЛЬНОМУ ХОЗЯЙСТВУ</w:t>
      </w:r>
    </w:p>
    <w:p w:rsidR="001A7838" w:rsidRPr="001A7838" w:rsidRDefault="001A7838" w:rsidP="001A7838">
      <w:pPr>
        <w:spacing w:after="0"/>
        <w:ind w:left="567"/>
        <w:jc w:val="center"/>
        <w:rPr>
          <w:rFonts w:ascii="Arial" w:eastAsiaTheme="minorEastAsia" w:hAnsi="Arial" w:cs="Arial"/>
          <w:b/>
          <w:bCs/>
          <w:sz w:val="20"/>
          <w:szCs w:val="20"/>
          <w:lang w:eastAsia="ru-RU"/>
        </w:rPr>
      </w:pPr>
    </w:p>
    <w:p w:rsidR="001A7838" w:rsidRPr="001A7838" w:rsidRDefault="001A7838" w:rsidP="001A7838">
      <w:pPr>
        <w:spacing w:after="0"/>
        <w:ind w:left="567"/>
        <w:jc w:val="center"/>
        <w:rPr>
          <w:rFonts w:ascii="Arial" w:eastAsiaTheme="minorEastAsia" w:hAnsi="Arial" w:cs="Arial"/>
          <w:b/>
          <w:bCs/>
          <w:sz w:val="20"/>
          <w:szCs w:val="20"/>
          <w:lang w:eastAsia="ru-RU"/>
        </w:rPr>
      </w:pPr>
      <w:r w:rsidRPr="001A7838">
        <w:rPr>
          <w:rFonts w:ascii="Arial" w:eastAsiaTheme="minorEastAsia" w:hAnsi="Arial" w:cs="Arial"/>
          <w:b/>
          <w:bCs/>
          <w:sz w:val="20"/>
          <w:szCs w:val="20"/>
          <w:lang w:eastAsia="ru-RU"/>
        </w:rPr>
        <w:t>ПИСЬМО</w:t>
      </w:r>
    </w:p>
    <w:p w:rsidR="001A7838" w:rsidRPr="001A7838" w:rsidRDefault="001A7838" w:rsidP="001A7838">
      <w:pPr>
        <w:spacing w:after="0"/>
        <w:ind w:left="567"/>
        <w:jc w:val="center"/>
        <w:rPr>
          <w:rFonts w:ascii="Arial" w:eastAsiaTheme="minorEastAsia" w:hAnsi="Arial" w:cs="Arial"/>
          <w:b/>
          <w:bCs/>
          <w:sz w:val="20"/>
          <w:szCs w:val="20"/>
          <w:lang w:eastAsia="ru-RU"/>
        </w:rPr>
      </w:pPr>
      <w:r w:rsidRPr="001A7838">
        <w:rPr>
          <w:rFonts w:ascii="Arial" w:eastAsiaTheme="minorEastAsia" w:hAnsi="Arial" w:cs="Arial"/>
          <w:b/>
          <w:bCs/>
          <w:sz w:val="20"/>
          <w:szCs w:val="20"/>
          <w:lang w:eastAsia="ru-RU"/>
        </w:rPr>
        <w:t>от 30 ноября 2012 г. N 2715-ЮР/11/ГС</w:t>
      </w:r>
    </w:p>
    <w:p w:rsidR="001A7838" w:rsidRPr="001A7838" w:rsidRDefault="001A7838" w:rsidP="001A7838">
      <w:pPr>
        <w:spacing w:after="0"/>
        <w:ind w:left="567"/>
        <w:jc w:val="center"/>
        <w:rPr>
          <w:rFonts w:ascii="Arial" w:eastAsiaTheme="minorEastAsia" w:hAnsi="Arial" w:cs="Arial"/>
          <w:b/>
          <w:bCs/>
          <w:sz w:val="20"/>
          <w:szCs w:val="20"/>
          <w:lang w:eastAsia="ru-RU"/>
        </w:rPr>
      </w:pPr>
    </w:p>
    <w:p w:rsidR="001A7838" w:rsidRPr="001A7838" w:rsidRDefault="001A7838" w:rsidP="001A7838">
      <w:pPr>
        <w:spacing w:after="0"/>
        <w:ind w:left="567" w:firstLine="567"/>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Федеральное агентство по строительству и жилищно-коммунальному хозяйству в соответствии с письмом Аппарата Правительства Российской Федерации от 31 октября 2012 г. N П9-47826 рассмотрело обращение по вопросу применения постановления Правительства Российской Федерации от 24 марта 2011 г. N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сообщает следующее.</w:t>
      </w:r>
    </w:p>
    <w:p w:rsidR="001A7838" w:rsidRPr="001A7838" w:rsidRDefault="001A7838" w:rsidP="001A7838">
      <w:pPr>
        <w:spacing w:after="0"/>
        <w:ind w:left="567" w:firstLine="567"/>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В соответствии с частью 5 статьи 55.5 Градостроительного кодекса Российской Федерации требования к выдаче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устанавливаются к каждому виду работ на уровне, не ниже минимально установленных частью 1 Приложения 1 постановления Правительства Российской Федерации от 24 марта 2011 г. N 207.</w:t>
      </w:r>
    </w:p>
    <w:p w:rsidR="001A7838" w:rsidRPr="001A7838" w:rsidRDefault="001A7838" w:rsidP="001A7838">
      <w:pPr>
        <w:spacing w:after="0"/>
        <w:ind w:left="567" w:firstLine="567"/>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В случае если заявитель намерен получить свидетельство о допуске на виды работ, установленные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утвержденном приказом Министерства регионального развития Российской Федерации от 30 декабря 2009 г. N 624, пунктами N 21.1, 21.2, 21.3, 21.4, 21.5, 21.6, 21.7, 23.7, 33.1.12, применяется формула согласно части 5 Приложения 1 постановления Правительства Российской Федерации от 24 марта 2011 г. N 207.</w:t>
      </w:r>
    </w:p>
    <w:p w:rsidR="001A7838" w:rsidRPr="001A7838" w:rsidRDefault="001A7838" w:rsidP="001A7838">
      <w:pPr>
        <w:spacing w:after="0"/>
        <w:ind w:left="567" w:firstLine="567"/>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По мнению Госстроя, в случае применения формулы, установленной частью 5 Приложения 1 постановления Правительства Российской Федерации от 24 марта 2011 г. N 207, при получении свидетельства о допуске на 2 и более вида работ, находящихся в разных группах видов работ, включенных в Перечень, требования к численности каждой из групп работников могут быть ниже, чем при получении свидетельства о допуске на 2 и более вида работ, находящихся в одной группе видов работ.</w:t>
      </w:r>
    </w:p>
    <w:p w:rsidR="001A7838" w:rsidRPr="001A7838" w:rsidRDefault="001A7838" w:rsidP="001A7838">
      <w:pPr>
        <w:spacing w:after="0"/>
        <w:ind w:left="567"/>
        <w:jc w:val="center"/>
        <w:rPr>
          <w:rFonts w:ascii="Arial" w:eastAsiaTheme="minorEastAsia" w:hAnsi="Arial" w:cs="Arial"/>
          <w:b/>
          <w:bCs/>
          <w:sz w:val="20"/>
          <w:szCs w:val="20"/>
          <w:lang w:eastAsia="ru-RU"/>
        </w:rPr>
      </w:pPr>
    </w:p>
    <w:p w:rsidR="001A7838" w:rsidRPr="001A7838" w:rsidRDefault="001A7838" w:rsidP="001A7838">
      <w:pPr>
        <w:spacing w:after="0"/>
        <w:ind w:left="567"/>
        <w:jc w:val="right"/>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Начальник</w:t>
      </w:r>
    </w:p>
    <w:p w:rsidR="001A7838" w:rsidRPr="001A7838" w:rsidRDefault="001A7838" w:rsidP="001A7838">
      <w:pPr>
        <w:spacing w:after="0"/>
        <w:ind w:left="567"/>
        <w:jc w:val="right"/>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Управления нормативного</w:t>
      </w:r>
    </w:p>
    <w:p w:rsidR="001A7838" w:rsidRPr="001A7838" w:rsidRDefault="001A7838" w:rsidP="001A7838">
      <w:pPr>
        <w:spacing w:after="0"/>
        <w:ind w:left="567"/>
        <w:jc w:val="right"/>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и информационно-методического обеспечения</w:t>
      </w:r>
    </w:p>
    <w:p w:rsidR="001A7838" w:rsidRPr="001A7838" w:rsidRDefault="001A7838" w:rsidP="001A7838">
      <w:pPr>
        <w:spacing w:after="0"/>
        <w:ind w:left="567"/>
        <w:jc w:val="right"/>
        <w:rPr>
          <w:rFonts w:ascii="Arial" w:eastAsiaTheme="minorEastAsia" w:hAnsi="Arial" w:cs="Arial"/>
          <w:bCs/>
          <w:sz w:val="20"/>
          <w:szCs w:val="20"/>
          <w:lang w:eastAsia="ru-RU"/>
        </w:rPr>
      </w:pPr>
      <w:r w:rsidRPr="001A7838">
        <w:rPr>
          <w:rFonts w:ascii="Arial" w:eastAsiaTheme="minorEastAsia" w:hAnsi="Arial" w:cs="Arial"/>
          <w:bCs/>
          <w:sz w:val="20"/>
          <w:szCs w:val="20"/>
          <w:lang w:eastAsia="ru-RU"/>
        </w:rPr>
        <w:t>градостроительной политики</w:t>
      </w:r>
    </w:p>
    <w:p w:rsidR="001A7838" w:rsidRPr="001A7838" w:rsidRDefault="001A7838" w:rsidP="001A7838">
      <w:pPr>
        <w:spacing w:after="0"/>
        <w:ind w:left="567"/>
        <w:jc w:val="right"/>
        <w:rPr>
          <w:rFonts w:ascii="Arial" w:eastAsiaTheme="minorEastAsia" w:hAnsi="Arial" w:cs="Arial"/>
          <w:bCs/>
          <w:sz w:val="16"/>
          <w:szCs w:val="16"/>
          <w:lang w:eastAsia="ru-RU"/>
        </w:rPr>
      </w:pPr>
      <w:r w:rsidRPr="001A7838">
        <w:rPr>
          <w:rFonts w:ascii="Arial" w:eastAsiaTheme="minorEastAsia" w:hAnsi="Arial" w:cs="Arial"/>
          <w:bCs/>
          <w:sz w:val="20"/>
          <w:szCs w:val="20"/>
          <w:lang w:eastAsia="ru-RU"/>
        </w:rPr>
        <w:t>Ю.Х.РОДИОНОВА</w:t>
      </w:r>
    </w:p>
    <w:p w:rsidR="00175B1E" w:rsidRPr="00F964B9" w:rsidRDefault="00F964B9" w:rsidP="001A7838">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04" w:rsidRDefault="00810F04" w:rsidP="00FF3D03">
      <w:pPr>
        <w:spacing w:after="0" w:line="240" w:lineRule="auto"/>
      </w:pPr>
      <w:r>
        <w:separator/>
      </w:r>
    </w:p>
  </w:endnote>
  <w:endnote w:type="continuationSeparator" w:id="0">
    <w:p w:rsidR="00810F04" w:rsidRDefault="00810F04"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1A7838">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1A7838">
      <w:rPr>
        <w:rFonts w:ascii="Arial CYR" w:hAnsi="Arial CYR" w:cs="Arial CYR"/>
        <w:b/>
        <w:noProof/>
        <w:sz w:val="20"/>
        <w:szCs w:val="20"/>
      </w:rPr>
      <w:t>2</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04" w:rsidRDefault="00810F04" w:rsidP="00FF3D03">
      <w:pPr>
        <w:spacing w:after="0" w:line="240" w:lineRule="auto"/>
      </w:pPr>
      <w:r>
        <w:separator/>
      </w:r>
    </w:p>
  </w:footnote>
  <w:footnote w:type="continuationSeparator" w:id="0">
    <w:p w:rsidR="00810F04" w:rsidRDefault="00810F04"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A0F37" w:rsidRDefault="001A7838" w:rsidP="00942847">
              <w:pPr>
                <w:pStyle w:val="a6"/>
                <w:ind w:right="312"/>
                <w:rPr>
                  <w:rFonts w:eastAsiaTheme="majorEastAsia" w:cstheme="minorHAnsi"/>
                  <w:sz w:val="16"/>
                  <w:szCs w:val="16"/>
                </w:rPr>
              </w:pPr>
              <w:r w:rsidRPr="001A7838">
                <w:rPr>
                  <w:rFonts w:ascii="Tahoma" w:hAnsi="Tahoma" w:cs="Tahoma"/>
                  <w:sz w:val="16"/>
                  <w:szCs w:val="16"/>
                </w:rPr>
                <w:t>&lt;Письмо&gt; Госстроя от 30.11.2012 N 2715-ЮР/11/ГС &lt;О применении Постановления Правительства РФ от 24.03.2011 N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объектов"&gt;</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A0F37"/>
    <w:rsid w:val="00175B1E"/>
    <w:rsid w:val="001A7838"/>
    <w:rsid w:val="001E3626"/>
    <w:rsid w:val="002141EC"/>
    <w:rsid w:val="002A29E9"/>
    <w:rsid w:val="003570EC"/>
    <w:rsid w:val="003E7AA7"/>
    <w:rsid w:val="004839C7"/>
    <w:rsid w:val="004C5A47"/>
    <w:rsid w:val="0051685A"/>
    <w:rsid w:val="006B6467"/>
    <w:rsid w:val="00706575"/>
    <w:rsid w:val="007454CA"/>
    <w:rsid w:val="007D16B4"/>
    <w:rsid w:val="00810F04"/>
    <w:rsid w:val="008A2D0E"/>
    <w:rsid w:val="00942847"/>
    <w:rsid w:val="009827EB"/>
    <w:rsid w:val="00A14A13"/>
    <w:rsid w:val="00A61195"/>
    <w:rsid w:val="00B0714A"/>
    <w:rsid w:val="00B807D8"/>
    <w:rsid w:val="00D04D56"/>
    <w:rsid w:val="00DA3D95"/>
    <w:rsid w:val="00DE5C1A"/>
    <w:rsid w:val="00E26D5B"/>
    <w:rsid w:val="00EC68FA"/>
    <w:rsid w:val="00EE0B29"/>
    <w:rsid w:val="00F15021"/>
    <w:rsid w:val="00F34A41"/>
    <w:rsid w:val="00F740A7"/>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FollowedHyperlink"/>
    <w:basedOn w:val="a0"/>
    <w:uiPriority w:val="99"/>
    <w:semiHidden/>
    <w:unhideWhenUsed/>
    <w:rsid w:val="007454CA"/>
    <w:rPr>
      <w:color w:val="800080" w:themeColor="followedHyperlink"/>
      <w:u w:val="single"/>
    </w:rPr>
  </w:style>
  <w:style w:type="paragraph" w:customStyle="1" w:styleId="ConsPlusNonformat">
    <w:name w:val="ConsPlusNonformat"/>
    <w:uiPriority w:val="99"/>
    <w:rsid w:val="007454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4C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FollowedHyperlink"/>
    <w:basedOn w:val="a0"/>
    <w:uiPriority w:val="99"/>
    <w:semiHidden/>
    <w:unhideWhenUsed/>
    <w:rsid w:val="007454CA"/>
    <w:rPr>
      <w:color w:val="800080" w:themeColor="followedHyperlink"/>
      <w:u w:val="single"/>
    </w:rPr>
  </w:style>
  <w:style w:type="paragraph" w:customStyle="1" w:styleId="ConsPlusNonformat">
    <w:name w:val="ConsPlusNonformat"/>
    <w:uiPriority w:val="99"/>
    <w:rsid w:val="007454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54C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213">
      <w:bodyDiv w:val="1"/>
      <w:marLeft w:val="0"/>
      <w:marRight w:val="0"/>
      <w:marTop w:val="0"/>
      <w:marBottom w:val="0"/>
      <w:divBdr>
        <w:top w:val="none" w:sz="0" w:space="0" w:color="auto"/>
        <w:left w:val="none" w:sz="0" w:space="0" w:color="auto"/>
        <w:bottom w:val="none" w:sz="0" w:space="0" w:color="auto"/>
        <w:right w:val="none" w:sz="0" w:space="0" w:color="auto"/>
      </w:divBdr>
    </w:div>
    <w:div w:id="185483439">
      <w:bodyDiv w:val="1"/>
      <w:marLeft w:val="0"/>
      <w:marRight w:val="0"/>
      <w:marTop w:val="0"/>
      <w:marBottom w:val="0"/>
      <w:divBdr>
        <w:top w:val="none" w:sz="0" w:space="0" w:color="auto"/>
        <w:left w:val="none" w:sz="0" w:space="0" w:color="auto"/>
        <w:bottom w:val="none" w:sz="0" w:space="0" w:color="auto"/>
        <w:right w:val="none" w:sz="0" w:space="0" w:color="auto"/>
      </w:divBdr>
    </w:div>
    <w:div w:id="380397941">
      <w:bodyDiv w:val="1"/>
      <w:marLeft w:val="0"/>
      <w:marRight w:val="0"/>
      <w:marTop w:val="0"/>
      <w:marBottom w:val="0"/>
      <w:divBdr>
        <w:top w:val="none" w:sz="0" w:space="0" w:color="auto"/>
        <w:left w:val="none" w:sz="0" w:space="0" w:color="auto"/>
        <w:bottom w:val="none" w:sz="0" w:space="0" w:color="auto"/>
        <w:right w:val="none" w:sz="0" w:space="0" w:color="auto"/>
      </w:divBdr>
    </w:div>
    <w:div w:id="449281038">
      <w:bodyDiv w:val="1"/>
      <w:marLeft w:val="0"/>
      <w:marRight w:val="0"/>
      <w:marTop w:val="0"/>
      <w:marBottom w:val="0"/>
      <w:divBdr>
        <w:top w:val="none" w:sz="0" w:space="0" w:color="auto"/>
        <w:left w:val="none" w:sz="0" w:space="0" w:color="auto"/>
        <w:bottom w:val="none" w:sz="0" w:space="0" w:color="auto"/>
        <w:right w:val="none" w:sz="0" w:space="0" w:color="auto"/>
      </w:divBdr>
    </w:div>
    <w:div w:id="578638675">
      <w:bodyDiv w:val="1"/>
      <w:marLeft w:val="0"/>
      <w:marRight w:val="0"/>
      <w:marTop w:val="0"/>
      <w:marBottom w:val="0"/>
      <w:divBdr>
        <w:top w:val="none" w:sz="0" w:space="0" w:color="auto"/>
        <w:left w:val="none" w:sz="0" w:space="0" w:color="auto"/>
        <w:bottom w:val="none" w:sz="0" w:space="0" w:color="auto"/>
        <w:right w:val="none" w:sz="0" w:space="0" w:color="auto"/>
      </w:divBdr>
    </w:div>
    <w:div w:id="585845152">
      <w:bodyDiv w:val="1"/>
      <w:marLeft w:val="0"/>
      <w:marRight w:val="0"/>
      <w:marTop w:val="0"/>
      <w:marBottom w:val="0"/>
      <w:divBdr>
        <w:top w:val="none" w:sz="0" w:space="0" w:color="auto"/>
        <w:left w:val="none" w:sz="0" w:space="0" w:color="auto"/>
        <w:bottom w:val="none" w:sz="0" w:space="0" w:color="auto"/>
        <w:right w:val="none" w:sz="0" w:space="0" w:color="auto"/>
      </w:divBdr>
    </w:div>
    <w:div w:id="607851792">
      <w:bodyDiv w:val="1"/>
      <w:marLeft w:val="0"/>
      <w:marRight w:val="0"/>
      <w:marTop w:val="0"/>
      <w:marBottom w:val="0"/>
      <w:divBdr>
        <w:top w:val="none" w:sz="0" w:space="0" w:color="auto"/>
        <w:left w:val="none" w:sz="0" w:space="0" w:color="auto"/>
        <w:bottom w:val="none" w:sz="0" w:space="0" w:color="auto"/>
        <w:right w:val="none" w:sz="0" w:space="0" w:color="auto"/>
      </w:divBdr>
    </w:div>
    <w:div w:id="953748540">
      <w:bodyDiv w:val="1"/>
      <w:marLeft w:val="0"/>
      <w:marRight w:val="0"/>
      <w:marTop w:val="0"/>
      <w:marBottom w:val="0"/>
      <w:divBdr>
        <w:top w:val="none" w:sz="0" w:space="0" w:color="auto"/>
        <w:left w:val="none" w:sz="0" w:space="0" w:color="auto"/>
        <w:bottom w:val="none" w:sz="0" w:space="0" w:color="auto"/>
        <w:right w:val="none" w:sz="0" w:space="0" w:color="auto"/>
      </w:divBdr>
    </w:div>
    <w:div w:id="1057628665">
      <w:bodyDiv w:val="1"/>
      <w:marLeft w:val="0"/>
      <w:marRight w:val="0"/>
      <w:marTop w:val="0"/>
      <w:marBottom w:val="0"/>
      <w:divBdr>
        <w:top w:val="none" w:sz="0" w:space="0" w:color="auto"/>
        <w:left w:val="none" w:sz="0" w:space="0" w:color="auto"/>
        <w:bottom w:val="none" w:sz="0" w:space="0" w:color="auto"/>
        <w:right w:val="none" w:sz="0" w:space="0" w:color="auto"/>
      </w:divBdr>
    </w:div>
    <w:div w:id="1089496989">
      <w:bodyDiv w:val="1"/>
      <w:marLeft w:val="0"/>
      <w:marRight w:val="0"/>
      <w:marTop w:val="0"/>
      <w:marBottom w:val="0"/>
      <w:divBdr>
        <w:top w:val="none" w:sz="0" w:space="0" w:color="auto"/>
        <w:left w:val="none" w:sz="0" w:space="0" w:color="auto"/>
        <w:bottom w:val="none" w:sz="0" w:space="0" w:color="auto"/>
        <w:right w:val="none" w:sz="0" w:space="0" w:color="auto"/>
      </w:divBdr>
    </w:div>
    <w:div w:id="1287850705">
      <w:bodyDiv w:val="1"/>
      <w:marLeft w:val="0"/>
      <w:marRight w:val="0"/>
      <w:marTop w:val="0"/>
      <w:marBottom w:val="0"/>
      <w:divBdr>
        <w:top w:val="none" w:sz="0" w:space="0" w:color="auto"/>
        <w:left w:val="none" w:sz="0" w:space="0" w:color="auto"/>
        <w:bottom w:val="none" w:sz="0" w:space="0" w:color="auto"/>
        <w:right w:val="none" w:sz="0" w:space="0" w:color="auto"/>
      </w:divBdr>
    </w:div>
    <w:div w:id="1323966162">
      <w:bodyDiv w:val="1"/>
      <w:marLeft w:val="0"/>
      <w:marRight w:val="0"/>
      <w:marTop w:val="0"/>
      <w:marBottom w:val="0"/>
      <w:divBdr>
        <w:top w:val="none" w:sz="0" w:space="0" w:color="auto"/>
        <w:left w:val="none" w:sz="0" w:space="0" w:color="auto"/>
        <w:bottom w:val="none" w:sz="0" w:space="0" w:color="auto"/>
        <w:right w:val="none" w:sz="0" w:space="0" w:color="auto"/>
      </w:divBdr>
    </w:div>
    <w:div w:id="1348480889">
      <w:bodyDiv w:val="1"/>
      <w:marLeft w:val="0"/>
      <w:marRight w:val="0"/>
      <w:marTop w:val="0"/>
      <w:marBottom w:val="0"/>
      <w:divBdr>
        <w:top w:val="none" w:sz="0" w:space="0" w:color="auto"/>
        <w:left w:val="none" w:sz="0" w:space="0" w:color="auto"/>
        <w:bottom w:val="none" w:sz="0" w:space="0" w:color="auto"/>
        <w:right w:val="none" w:sz="0" w:space="0" w:color="auto"/>
      </w:divBdr>
    </w:div>
    <w:div w:id="1527982980">
      <w:bodyDiv w:val="1"/>
      <w:marLeft w:val="0"/>
      <w:marRight w:val="0"/>
      <w:marTop w:val="0"/>
      <w:marBottom w:val="0"/>
      <w:divBdr>
        <w:top w:val="none" w:sz="0" w:space="0" w:color="auto"/>
        <w:left w:val="none" w:sz="0" w:space="0" w:color="auto"/>
        <w:bottom w:val="none" w:sz="0" w:space="0" w:color="auto"/>
        <w:right w:val="none" w:sz="0" w:space="0" w:color="auto"/>
      </w:divBdr>
    </w:div>
    <w:div w:id="1591549210">
      <w:bodyDiv w:val="1"/>
      <w:marLeft w:val="0"/>
      <w:marRight w:val="0"/>
      <w:marTop w:val="0"/>
      <w:marBottom w:val="0"/>
      <w:divBdr>
        <w:top w:val="none" w:sz="0" w:space="0" w:color="auto"/>
        <w:left w:val="none" w:sz="0" w:space="0" w:color="auto"/>
        <w:bottom w:val="none" w:sz="0" w:space="0" w:color="auto"/>
        <w:right w:val="none" w:sz="0" w:space="0" w:color="auto"/>
      </w:divBdr>
    </w:div>
    <w:div w:id="1848249967">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1882133286">
      <w:bodyDiv w:val="1"/>
      <w:marLeft w:val="0"/>
      <w:marRight w:val="0"/>
      <w:marTop w:val="0"/>
      <w:marBottom w:val="0"/>
      <w:divBdr>
        <w:top w:val="none" w:sz="0" w:space="0" w:color="auto"/>
        <w:left w:val="none" w:sz="0" w:space="0" w:color="auto"/>
        <w:bottom w:val="none" w:sz="0" w:space="0" w:color="auto"/>
        <w:right w:val="none" w:sz="0" w:space="0" w:color="auto"/>
      </w:divBdr>
    </w:div>
    <w:div w:id="19536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31AB7"/>
    <w:rsid w:val="00572E1C"/>
    <w:rsid w:val="005C18F0"/>
    <w:rsid w:val="006C6FEB"/>
    <w:rsid w:val="006D6AD6"/>
    <w:rsid w:val="009F5827"/>
    <w:rsid w:val="00A553EF"/>
    <w:rsid w:val="00F1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84320B8D582745E6986905B99E3BC3A4">
    <w:name w:val="84320B8D582745E6986905B99E3BC3A4"/>
    <w:rsid w:val="00A55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84320B8D582745E6986905B99E3BC3A4">
    <w:name w:val="84320B8D582745E6986905B99E3BC3A4"/>
    <w:rsid w:val="00A55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CBC5-BE19-4B37-904B-767E78A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&lt;Письмо&gt; Госстроя от 30.11.2012 N 2715-ЮР/11/ГС &lt;О применении Постановления Правительства РФ от 24.03.2011 N 207 "О минимально необходимых требованиях к выдаче саморегулируемыми организациями свидетельств о допуске к работам на особо опасных и технически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Госстроя от 30.11.2012 N 2715-ЮР/11/ГС О применении Постановления Правительства РФ от 24.03.2011 N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dc:title>
  <dc:creator>sro.center</dc:creator>
  <cp:lastModifiedBy>sro.center</cp:lastModifiedBy>
  <cp:revision>2</cp:revision>
  <dcterms:created xsi:type="dcterms:W3CDTF">2014-06-14T23:29:00Z</dcterms:created>
  <dcterms:modified xsi:type="dcterms:W3CDTF">2014-06-14T23:29:00Z</dcterms:modified>
</cp:coreProperties>
</file>